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092B7268"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D1775A" w:rsidRPr="00CA2A40">
        <w:rPr>
          <w:rFonts w:cs="Arial"/>
          <w:szCs w:val="22"/>
        </w:rPr>
        <w:t xml:space="preserve">1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7D4582" w:rsidRPr="007D4582">
        <w:rPr>
          <w:szCs w:val="22"/>
        </w:rPr>
        <w:t>R4-2409171</w:t>
      </w:r>
      <w:bookmarkStart w:id="2" w:name="_GoBack"/>
      <w:bookmarkEnd w:id="2"/>
    </w:p>
    <w:p w14:paraId="1DC1B158" w14:textId="6384F091" w:rsidR="00675C27" w:rsidRPr="00CA2A40" w:rsidRDefault="002F1109" w:rsidP="00F71A33">
      <w:pPr>
        <w:pStyle w:val="afb"/>
        <w:rPr>
          <w:rFonts w:eastAsia="宋体"/>
          <w:szCs w:val="22"/>
          <w:lang w:eastAsia="zh-CN"/>
        </w:rPr>
      </w:pPr>
      <w:r w:rsidRPr="00CA2A40">
        <w:rPr>
          <w:rFonts w:cs="Arial"/>
          <w:szCs w:val="22"/>
        </w:rPr>
        <w:t>Fukuoka, Japan, May 20 - 24</w:t>
      </w:r>
      <w:r w:rsidRPr="00CA2A40">
        <w:rPr>
          <w:szCs w:val="22"/>
        </w:rPr>
        <w:t>, 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23AB53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0D55FC" w:rsidRPr="000D55FC">
        <w:rPr>
          <w:rFonts w:ascii="Arial" w:hAnsi="Arial" w:cs="Arial"/>
          <w:sz w:val="22"/>
          <w:szCs w:val="22"/>
        </w:rPr>
        <w:t>On MPR applicability for FR2 CA</w:t>
      </w:r>
    </w:p>
    <w:p w14:paraId="4FD55D83" w14:textId="2F14CBA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BB1309">
        <w:rPr>
          <w:rFonts w:ascii="Arial" w:hAnsi="Arial" w:cs="Arial"/>
          <w:sz w:val="22"/>
          <w:szCs w:val="22"/>
        </w:rPr>
        <w:t>10.1.1.3.3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5B83AC58" w:rsidR="00AB1467" w:rsidRDefault="00E11C52" w:rsidP="00AB1467">
      <w:pPr>
        <w:jc w:val="both"/>
      </w:pPr>
      <w:r>
        <w:t>During</w:t>
      </w:r>
      <w:r w:rsidR="00AB1467">
        <w:t xml:space="preserve"> RAN</w:t>
      </w:r>
      <w:r w:rsidR="009676FD">
        <w:t>4</w:t>
      </w:r>
      <w:r w:rsidR="008B6EC4">
        <w:t>#</w:t>
      </w:r>
      <w:r w:rsidR="00F72EAC">
        <w:t>1</w:t>
      </w:r>
      <w:r w:rsidR="009676FD">
        <w:t>10bis</w:t>
      </w:r>
      <w:r w:rsidR="008B6EC4">
        <w:t xml:space="preserve">, </w:t>
      </w:r>
      <w:r w:rsidR="007E777D">
        <w:t>MPR applicability</w:t>
      </w:r>
      <w:r w:rsidR="007E777D" w:rsidRPr="007E777D">
        <w:rPr>
          <w:rFonts w:eastAsia="Times New Roman"/>
          <w:sz w:val="24"/>
          <w:lang w:eastAsia="en-GB"/>
        </w:rPr>
        <w:t xml:space="preserve"> </w:t>
      </w:r>
      <w:r w:rsidR="007E777D" w:rsidRPr="007E777D">
        <w:t xml:space="preserve">for FR2 single carrier UL </w:t>
      </w:r>
      <w:r w:rsidR="007E777D">
        <w:t>and</w:t>
      </w:r>
      <w:r w:rsidR="007E777D" w:rsidRPr="007E777D">
        <w:t xml:space="preserve"> intra-band UL CA with DL intra-band CA</w:t>
      </w:r>
      <w:r w:rsidR="00F06EA1">
        <w:t xml:space="preserve"> </w:t>
      </w:r>
      <w:r w:rsidR="008741F1">
        <w:t>has</w:t>
      </w:r>
      <w:r w:rsidR="00F06EA1">
        <w:t xml:space="preserve"> been </w:t>
      </w:r>
      <w:r w:rsidR="008741F1">
        <w:t>discussed</w:t>
      </w:r>
      <w:r w:rsidR="00F06EA1">
        <w:t>.</w:t>
      </w:r>
      <w:r w:rsidR="008741F1">
        <w:t xml:space="preserve"> Following conclusion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07A66FAB" w14:textId="77777777" w:rsidR="001C7189" w:rsidRDefault="001C7189" w:rsidP="001C7189">
            <w:pPr>
              <w:rPr>
                <w:b/>
              </w:rPr>
            </w:pPr>
            <w:r>
              <w:rPr>
                <w:b/>
              </w:rPr>
              <w:t>Way forward:</w:t>
            </w:r>
          </w:p>
          <w:p w14:paraId="17169F1B" w14:textId="77777777" w:rsidR="001C7189" w:rsidRPr="001C7189" w:rsidRDefault="001C7189" w:rsidP="001C7189">
            <w:pPr>
              <w:pStyle w:val="aff6"/>
              <w:widowControl/>
              <w:numPr>
                <w:ilvl w:val="0"/>
                <w:numId w:val="35"/>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1C7189">
              <w:rPr>
                <w:rFonts w:ascii="Times New Roman" w:hAnsi="Times New Roman"/>
                <w:kern w:val="0"/>
                <w:sz w:val="20"/>
                <w:szCs w:val="20"/>
                <w:lang w:val="en-GB" w:eastAsia="zh-CN"/>
              </w:rPr>
              <w:t>The following cases will be further discussed in next meeting for applicable MPR changing from DL CABW dependent to UL carrier/CABW dependent with UE capability.</w:t>
            </w:r>
          </w:p>
          <w:p w14:paraId="59E29A2F" w14:textId="77777777" w:rsidR="001C7189" w:rsidRPr="001C7189" w:rsidRDefault="001C7189" w:rsidP="001C7189">
            <w:pPr>
              <w:pStyle w:val="aff6"/>
              <w:widowControl/>
              <w:numPr>
                <w:ilvl w:val="1"/>
                <w:numId w:val="35"/>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1C7189">
              <w:rPr>
                <w:rFonts w:ascii="Times New Roman" w:hAnsi="Times New Roman"/>
                <w:kern w:val="0"/>
                <w:sz w:val="20"/>
                <w:szCs w:val="20"/>
                <w:lang w:val="en-GB" w:eastAsia="zh-CN"/>
              </w:rPr>
              <w:t>single carrier UL with DL intra band CA</w:t>
            </w:r>
          </w:p>
          <w:p w14:paraId="6541F2EF" w14:textId="77777777" w:rsidR="001C7189" w:rsidRPr="001C7189" w:rsidRDefault="001C7189" w:rsidP="001C7189">
            <w:pPr>
              <w:pStyle w:val="aff6"/>
              <w:widowControl/>
              <w:numPr>
                <w:ilvl w:val="1"/>
                <w:numId w:val="35"/>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1C7189">
              <w:rPr>
                <w:rFonts w:ascii="Times New Roman" w:hAnsi="Times New Roman"/>
                <w:kern w:val="0"/>
                <w:sz w:val="20"/>
                <w:szCs w:val="20"/>
                <w:lang w:val="en-GB" w:eastAsia="zh-CN"/>
              </w:rPr>
              <w:t>intra-band UL CA with DL intra band CA (configuration based)</w:t>
            </w:r>
          </w:p>
          <w:p w14:paraId="2E11B050" w14:textId="77777777" w:rsidR="001C7189" w:rsidRPr="001C7189" w:rsidRDefault="001C7189" w:rsidP="001C7189">
            <w:pPr>
              <w:pStyle w:val="aff6"/>
              <w:widowControl/>
              <w:numPr>
                <w:ilvl w:val="1"/>
                <w:numId w:val="35"/>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1C7189">
              <w:rPr>
                <w:rFonts w:ascii="Times New Roman" w:hAnsi="Times New Roman"/>
                <w:kern w:val="0"/>
                <w:sz w:val="20"/>
                <w:szCs w:val="20"/>
                <w:lang w:val="en-GB" w:eastAsia="zh-CN"/>
              </w:rPr>
              <w:t>intra-band UL CA with DL intra band CA (CC activation based)</w:t>
            </w:r>
          </w:p>
          <w:p w14:paraId="7E044887" w14:textId="0704623C" w:rsidR="0067071C" w:rsidRPr="001C7189" w:rsidRDefault="001C7189" w:rsidP="001C7189">
            <w:pPr>
              <w:pStyle w:val="aff6"/>
              <w:widowControl/>
              <w:numPr>
                <w:ilvl w:val="0"/>
                <w:numId w:val="35"/>
              </w:numPr>
              <w:overflowPunct w:val="0"/>
              <w:autoSpaceDE w:val="0"/>
              <w:autoSpaceDN w:val="0"/>
              <w:adjustRightInd w:val="0"/>
              <w:spacing w:after="180"/>
              <w:ind w:firstLineChars="0"/>
              <w:jc w:val="left"/>
              <w:textAlignment w:val="baseline"/>
              <w:rPr>
                <w:rFonts w:eastAsiaTheme="minorEastAsia"/>
                <w:lang w:eastAsia="zh-CN"/>
              </w:rPr>
            </w:pPr>
            <w:r w:rsidRPr="001C7189">
              <w:rPr>
                <w:rFonts w:ascii="Times New Roman" w:hAnsi="Times New Roman"/>
                <w:kern w:val="0"/>
                <w:sz w:val="20"/>
                <w:szCs w:val="20"/>
                <w:lang w:val="en-GB" w:eastAsia="zh-CN"/>
              </w:rPr>
              <w:t>FFS the details of the UE capability</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22477D2D" w14:textId="640E0844" w:rsidR="001A7A02" w:rsidRDefault="00A476DD" w:rsidP="008575B1">
      <w:pPr>
        <w:jc w:val="both"/>
      </w:pPr>
      <w:r>
        <w:t>It was mentioned by proponents</w:t>
      </w:r>
      <w:r w:rsidR="00CF4C65">
        <w:t xml:space="preserve"> e.g. in [2]</w:t>
      </w:r>
      <w:r>
        <w:t xml:space="preserve"> that </w:t>
      </w:r>
      <w:r w:rsidR="00463853">
        <w:t xml:space="preserve">only split PLL for Tx/Rx can make this aggressive MPR </w:t>
      </w:r>
      <w:r w:rsidR="008C299D">
        <w:t>application</w:t>
      </w:r>
      <w:r w:rsidR="00463853">
        <w:t xml:space="preserve"> possible.</w:t>
      </w:r>
      <w:r>
        <w:t xml:space="preserve"> </w:t>
      </w:r>
      <w:r w:rsidR="00241DE3">
        <w:t xml:space="preserve">While we are curious about the correlation between PLL number itself and </w:t>
      </w:r>
      <w:r w:rsidR="00675D5F">
        <w:t xml:space="preserve">the </w:t>
      </w:r>
      <w:r w:rsidR="008E66D5">
        <w:t>feasibility</w:t>
      </w:r>
      <w:r w:rsidR="00675D5F">
        <w:t xml:space="preserve"> to </w:t>
      </w:r>
      <w:r w:rsidR="00A0191A">
        <w:t>utilize</w:t>
      </w:r>
      <w:r w:rsidR="00675D5F">
        <w:t xml:space="preserve"> smaller MPR,</w:t>
      </w:r>
      <w:r w:rsidR="00241DE3">
        <w:t xml:space="preserve"> </w:t>
      </w:r>
      <w:r w:rsidR="008E66D5">
        <w:t>seemingly</w:t>
      </w:r>
      <w:r w:rsidR="00CF6326">
        <w:t xml:space="preserve"> the tendency to specify the aforementioned RF architecture as </w:t>
      </w:r>
      <w:r w:rsidR="008E66D5">
        <w:t xml:space="preserve">an </w:t>
      </w:r>
      <w:r w:rsidR="00CF6326">
        <w:t>optional feature</w:t>
      </w:r>
      <w:r w:rsidR="007C32B1">
        <w:t xml:space="preserve"> is not </w:t>
      </w:r>
      <w:r w:rsidR="009041AD">
        <w:t xml:space="preserve">so in line with </w:t>
      </w:r>
      <w:r w:rsidR="007C32B1">
        <w:t xml:space="preserve">how RAN4 </w:t>
      </w:r>
      <w:r w:rsidR="00E73C2C">
        <w:t>defined the MPR requirements</w:t>
      </w:r>
      <w:r w:rsidR="007C32B1">
        <w:t>,</w:t>
      </w:r>
      <w:r w:rsidR="00CF6326">
        <w:t xml:space="preserve"> </w:t>
      </w:r>
      <w:r w:rsidR="008E66D5">
        <w:t>given that</w:t>
      </w:r>
      <w:r w:rsidR="00CF6326">
        <w:t xml:space="preserve"> both common and split Tx/Rx PLL </w:t>
      </w:r>
      <w:r w:rsidR="00A2380D">
        <w:t xml:space="preserve">structures </w:t>
      </w:r>
      <w:r w:rsidR="00CF6326">
        <w:t xml:space="preserve">have been studied </w:t>
      </w:r>
      <w:r w:rsidR="00A2380D">
        <w:t>before</w:t>
      </w:r>
      <w:r w:rsidR="007C32B1">
        <w:t xml:space="preserve"> and the eventually specified core requirements is implementation agnostic</w:t>
      </w:r>
      <w:r w:rsidR="0041500B">
        <w:t xml:space="preserve"> about this aspect</w:t>
      </w:r>
      <w:r w:rsidR="008E66D5">
        <w:t>.</w:t>
      </w:r>
      <w:r w:rsidR="007C32B1">
        <w:t xml:space="preserve">  </w:t>
      </w:r>
      <w:r w:rsidR="00CF6326">
        <w:t xml:space="preserve">  </w:t>
      </w:r>
    </w:p>
    <w:p w14:paraId="356D4419" w14:textId="638DE566" w:rsidR="00F00AFD" w:rsidRDefault="00F00AFD" w:rsidP="008575B1">
      <w:pPr>
        <w:jc w:val="both"/>
        <w:rPr>
          <w:b/>
          <w:i/>
        </w:rPr>
      </w:pPr>
      <w:r>
        <w:rPr>
          <w:b/>
          <w:i/>
        </w:rPr>
        <w:t xml:space="preserve">Observation </w:t>
      </w:r>
      <w:r w:rsidR="00444A9C">
        <w:rPr>
          <w:b/>
          <w:i/>
        </w:rPr>
        <w:t>1</w:t>
      </w:r>
      <w:r>
        <w:rPr>
          <w:b/>
          <w:i/>
        </w:rPr>
        <w:t>:</w:t>
      </w:r>
      <w:r w:rsidR="00C02FDB">
        <w:rPr>
          <w:b/>
          <w:i/>
        </w:rPr>
        <w:t xml:space="preserve"> Specify split PLL for Tx/Rx</w:t>
      </w:r>
      <w:r w:rsidR="00C02FDB" w:rsidRPr="00C02FDB">
        <w:rPr>
          <w:b/>
          <w:i/>
        </w:rPr>
        <w:t xml:space="preserve"> RF architecture as an optional feature is not in line with how RAN4 </w:t>
      </w:r>
      <w:r w:rsidR="00E73C2C" w:rsidRPr="00E73C2C">
        <w:rPr>
          <w:b/>
          <w:i/>
        </w:rPr>
        <w:t>defined the MPR requirements</w:t>
      </w:r>
      <w:r w:rsidR="00C02FDB" w:rsidRPr="00C02FDB">
        <w:rPr>
          <w:b/>
          <w:i/>
        </w:rPr>
        <w:t>, given that both common and split Tx/Rx PLL structures have been studied before and the eventually specified core requirements is implementation agnostic about this aspect</w:t>
      </w:r>
      <w:r w:rsidR="00444A9C">
        <w:rPr>
          <w:b/>
          <w:i/>
        </w:rPr>
        <w:t>.</w:t>
      </w:r>
    </w:p>
    <w:p w14:paraId="417038E8" w14:textId="42CDC60A" w:rsidR="00B679BA" w:rsidRDefault="004177C3" w:rsidP="008575B1">
      <w:pPr>
        <w:jc w:val="both"/>
      </w:pPr>
      <w:r>
        <w:t xml:space="preserve">Actually, </w:t>
      </w:r>
      <w:r w:rsidR="0069514A">
        <w:t xml:space="preserve">the reason why we have the above </w:t>
      </w:r>
      <w:r w:rsidR="00B9094C">
        <w:t>curiosity</w:t>
      </w:r>
      <w:r w:rsidR="0069514A">
        <w:t xml:space="preserve"> is that the current specification kind of supports single CC MPR applicability </w:t>
      </w:r>
      <w:r w:rsidR="006063ED">
        <w:t>for</w:t>
      </w:r>
      <w:r w:rsidR="0069514A">
        <w:t xml:space="preserve"> </w:t>
      </w:r>
      <w:r w:rsidR="006063ED">
        <w:t xml:space="preserve">some cases under </w:t>
      </w:r>
      <w:r w:rsidR="00B679BA">
        <w:t>intra-band UL NC CA operation, if we interpret the following spec correctly.</w:t>
      </w:r>
    </w:p>
    <w:p w14:paraId="4A7F2E0E" w14:textId="55BF9A65" w:rsidR="006063ED" w:rsidRDefault="00EE76B2" w:rsidP="00391D85">
      <w:pPr>
        <w:jc w:val="center"/>
      </w:pPr>
      <w:r>
        <w:rPr>
          <w:noProof/>
          <w:lang w:val="en-US"/>
        </w:rPr>
        <w:drawing>
          <wp:inline distT="0" distB="0" distL="0" distR="0" wp14:anchorId="3292F008" wp14:editId="4A0F267E">
            <wp:extent cx="4448014" cy="1092973"/>
            <wp:effectExtent l="114300" t="76200" r="105410" b="692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93620" cy="1104179"/>
                    </a:xfrm>
                    <a:prstGeom prst="rect">
                      <a:avLst/>
                    </a:prstGeom>
                    <a:effectLst>
                      <a:outerShdw blurRad="63500" sx="102000" sy="102000" algn="ctr" rotWithShape="0">
                        <a:prstClr val="black">
                          <a:alpha val="40000"/>
                        </a:prstClr>
                      </a:outerShdw>
                    </a:effectLst>
                  </pic:spPr>
                </pic:pic>
              </a:graphicData>
            </a:graphic>
          </wp:inline>
        </w:drawing>
      </w:r>
    </w:p>
    <w:p w14:paraId="3C8253B2" w14:textId="0A96313C" w:rsidR="00391D85" w:rsidRDefault="00391D85" w:rsidP="00391D85">
      <w:r>
        <w:t xml:space="preserve">But split </w:t>
      </w:r>
      <w:r w:rsidR="00905EDB">
        <w:t xml:space="preserve">PLL may not be the strong implementation assumption/limitation </w:t>
      </w:r>
      <w:r w:rsidR="00EE76B2">
        <w:t>behind</w:t>
      </w:r>
      <w:r w:rsidR="00905EDB">
        <w:t xml:space="preserve"> it.</w:t>
      </w:r>
    </w:p>
    <w:p w14:paraId="5F8BAC8E" w14:textId="462C02E9" w:rsidR="00EE76B2" w:rsidRDefault="00EE76B2" w:rsidP="008575B1">
      <w:pPr>
        <w:jc w:val="both"/>
        <w:rPr>
          <w:b/>
          <w:i/>
        </w:rPr>
      </w:pPr>
      <w:r>
        <w:rPr>
          <w:b/>
          <w:i/>
        </w:rPr>
        <w:t>Observation 2: The split PLL may not be the strong implementation assumption/limitation behind following MPR applicability rule for</w:t>
      </w:r>
      <w:r w:rsidRPr="00EE76B2">
        <w:rPr>
          <w:b/>
          <w:i/>
        </w:rPr>
        <w:t xml:space="preserve"> </w:t>
      </w:r>
      <w:r w:rsidR="006562DB">
        <w:rPr>
          <w:b/>
          <w:i/>
        </w:rPr>
        <w:t xml:space="preserve">PC1 UE </w:t>
      </w:r>
      <w:r w:rsidR="00EB4844">
        <w:rPr>
          <w:b/>
          <w:i/>
        </w:rPr>
        <w:t xml:space="preserve">configured with </w:t>
      </w:r>
      <w:r w:rsidRPr="00EE76B2">
        <w:rPr>
          <w:b/>
          <w:i/>
        </w:rPr>
        <w:t>intra-band UL NC CA operation</w:t>
      </w:r>
      <w:r>
        <w:rPr>
          <w:b/>
          <w:i/>
        </w:rPr>
        <w:t>.</w:t>
      </w:r>
    </w:p>
    <w:p w14:paraId="5870F366" w14:textId="0CEFF679" w:rsidR="00341088" w:rsidRDefault="00EE76B2" w:rsidP="00EE76B2">
      <w:pPr>
        <w:jc w:val="center"/>
        <w:rPr>
          <w:b/>
          <w:i/>
        </w:rPr>
      </w:pPr>
      <w:r>
        <w:rPr>
          <w:noProof/>
          <w:lang w:val="en-US"/>
        </w:rPr>
        <w:lastRenderedPageBreak/>
        <w:drawing>
          <wp:inline distT="0" distB="0" distL="0" distR="0" wp14:anchorId="27FE77D4" wp14:editId="3BBE41D2">
            <wp:extent cx="4448014" cy="1092973"/>
            <wp:effectExtent l="114300" t="76200" r="105410" b="692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93620" cy="1104179"/>
                    </a:xfrm>
                    <a:prstGeom prst="rect">
                      <a:avLst/>
                    </a:prstGeom>
                    <a:effectLst>
                      <a:outerShdw blurRad="63500" sx="102000" sy="102000" algn="ctr" rotWithShape="0">
                        <a:prstClr val="black">
                          <a:alpha val="40000"/>
                        </a:prstClr>
                      </a:outerShdw>
                    </a:effectLst>
                  </pic:spPr>
                </pic:pic>
              </a:graphicData>
            </a:graphic>
          </wp:inline>
        </w:drawing>
      </w:r>
    </w:p>
    <w:p w14:paraId="01CD341E" w14:textId="70317B80" w:rsidR="00E73C2C" w:rsidRDefault="0097239E" w:rsidP="008575B1">
      <w:pPr>
        <w:jc w:val="both"/>
        <w:rPr>
          <w:b/>
          <w:i/>
        </w:rPr>
      </w:pPr>
      <w:r>
        <w:t>As it is widely known between FR2 UE vendors,</w:t>
      </w:r>
      <w:r w:rsidR="006562DB">
        <w:t xml:space="preserve"> split PLL for Tx/Rx would cause real challenge</w:t>
      </w:r>
      <w:r w:rsidR="005467FD">
        <w:t>s</w:t>
      </w:r>
      <w:r w:rsidR="006562DB">
        <w:t xml:space="preserve"> for power consumption, heat dissipation</w:t>
      </w:r>
      <w:r w:rsidR="00DF773B">
        <w:t xml:space="preserve"> especially for PC3 UE</w:t>
      </w:r>
      <w:r w:rsidR="006562DB">
        <w:t xml:space="preserve">, </w:t>
      </w:r>
      <w:r w:rsidR="005467FD">
        <w:t xml:space="preserve">and there </w:t>
      </w:r>
      <w:r w:rsidR="006562DB">
        <w:t xml:space="preserve">are unfortunately no metric </w:t>
      </w:r>
      <w:r w:rsidR="005467FD">
        <w:t xml:space="preserve">for those challenges </w:t>
      </w:r>
      <w:r w:rsidR="006562DB">
        <w:t xml:space="preserve">defined in specification. </w:t>
      </w:r>
      <w:r w:rsidR="001A6ADE">
        <w:t xml:space="preserve">However, those may not be lethal for e.g. PC1 UE. </w:t>
      </w:r>
      <w:r w:rsidR="006562DB">
        <w:t xml:space="preserve">Thus we think it is better to consider following conditions since RAN4 will pursue </w:t>
      </w:r>
      <w:r w:rsidR="001A6ADE">
        <w:t>MPR applicability enhancement</w:t>
      </w:r>
      <w:r w:rsidR="006562DB">
        <w:t xml:space="preserve"> </w:t>
      </w:r>
      <w:r w:rsidR="00DF773B">
        <w:t>in Rel-19.</w:t>
      </w:r>
      <w:r w:rsidR="006562DB">
        <w:t xml:space="preserve"> </w:t>
      </w:r>
      <w:r>
        <w:t xml:space="preserve"> </w:t>
      </w:r>
    </w:p>
    <w:p w14:paraId="0A83642B" w14:textId="730BA3D8" w:rsidR="00E73C2C" w:rsidRDefault="005E2DC0" w:rsidP="008575B1">
      <w:pPr>
        <w:jc w:val="both"/>
        <w:rPr>
          <w:b/>
          <w:i/>
        </w:rPr>
      </w:pPr>
      <w:r>
        <w:rPr>
          <w:b/>
          <w:i/>
        </w:rPr>
        <w:t>Proposal</w:t>
      </w:r>
      <w:r w:rsidR="001853F4">
        <w:rPr>
          <w:b/>
          <w:i/>
        </w:rPr>
        <w:t>:</w:t>
      </w:r>
      <w:r w:rsidR="00E73C2C">
        <w:rPr>
          <w:b/>
          <w:i/>
        </w:rPr>
        <w:t xml:space="preserve"> Consider following </w:t>
      </w:r>
      <w:r>
        <w:rPr>
          <w:b/>
          <w:i/>
        </w:rPr>
        <w:t>way</w:t>
      </w:r>
      <w:r w:rsidR="00E73C2C">
        <w:rPr>
          <w:b/>
          <w:i/>
        </w:rPr>
        <w:t xml:space="preserve"> during the nominal working procedure:</w:t>
      </w:r>
    </w:p>
    <w:p w14:paraId="2437562E" w14:textId="77777777" w:rsidR="005E2DC0" w:rsidRDefault="00E73C2C" w:rsidP="00E73C2C">
      <w:pPr>
        <w:pStyle w:val="aff6"/>
        <w:numPr>
          <w:ilvl w:val="0"/>
          <w:numId w:val="40"/>
        </w:numPr>
        <w:ind w:firstLineChars="0"/>
        <w:rPr>
          <w:rFonts w:ascii="Times New Roman" w:hAnsi="Times New Roman"/>
          <w:b/>
          <w:i/>
          <w:kern w:val="0"/>
          <w:sz w:val="20"/>
          <w:szCs w:val="20"/>
          <w:lang w:val="en-GB" w:eastAsia="zh-CN"/>
        </w:rPr>
      </w:pPr>
      <w:r w:rsidRPr="00E73C2C">
        <w:rPr>
          <w:rFonts w:ascii="Times New Roman" w:hAnsi="Times New Roman"/>
          <w:b/>
          <w:i/>
          <w:kern w:val="0"/>
          <w:sz w:val="20"/>
          <w:szCs w:val="20"/>
          <w:lang w:val="en-GB" w:eastAsia="zh-CN"/>
        </w:rPr>
        <w:t>Explicitly capture in specification (e.g., as a note for the UE capability) that the support of applicable intra-band contiguous UL CA MPR change subject to split PLL for Tx/Rx</w:t>
      </w:r>
      <w:r w:rsidR="005E2DC0">
        <w:rPr>
          <w:rFonts w:ascii="Times New Roman" w:hAnsi="Times New Roman"/>
          <w:b/>
          <w:i/>
          <w:kern w:val="0"/>
          <w:sz w:val="20"/>
          <w:szCs w:val="20"/>
          <w:lang w:val="en-GB" w:eastAsia="zh-CN"/>
        </w:rPr>
        <w:t>, or</w:t>
      </w:r>
    </w:p>
    <w:p w14:paraId="183AA849" w14:textId="7A597F31" w:rsidR="00E73C2C" w:rsidRPr="00591B88" w:rsidRDefault="005E2DC0" w:rsidP="00E73C2C">
      <w:pPr>
        <w:pStyle w:val="aff6"/>
        <w:numPr>
          <w:ilvl w:val="0"/>
          <w:numId w:val="40"/>
        </w:numPr>
        <w:ind w:firstLineChars="0"/>
        <w:rPr>
          <w:rFonts w:ascii="Times New Roman" w:hAnsi="Times New Roman"/>
          <w:b/>
          <w:i/>
          <w:kern w:val="0"/>
          <w:sz w:val="20"/>
          <w:szCs w:val="20"/>
          <w:lang w:val="en-GB" w:eastAsia="zh-CN"/>
        </w:rPr>
      </w:pPr>
      <w:r w:rsidRPr="005E2DC0">
        <w:rPr>
          <w:rFonts w:ascii="Times New Roman" w:hAnsi="Times New Roman"/>
          <w:b/>
          <w:i/>
          <w:kern w:val="0"/>
          <w:sz w:val="20"/>
          <w:szCs w:val="20"/>
          <w:lang w:val="en-GB" w:eastAsia="zh-CN"/>
        </w:rPr>
        <w:t xml:space="preserve">Preclude PC3 UE from </w:t>
      </w:r>
      <w:r>
        <w:rPr>
          <w:rFonts w:ascii="Times New Roman" w:hAnsi="Times New Roman"/>
          <w:b/>
          <w:i/>
          <w:kern w:val="0"/>
          <w:sz w:val="20"/>
          <w:szCs w:val="20"/>
          <w:lang w:val="en-GB" w:eastAsia="zh-CN"/>
        </w:rPr>
        <w:t>those UE types</w:t>
      </w:r>
      <w:r w:rsidRPr="005E2DC0">
        <w:rPr>
          <w:rFonts w:ascii="Times New Roman" w:hAnsi="Times New Roman"/>
          <w:b/>
          <w:i/>
          <w:kern w:val="0"/>
          <w:sz w:val="20"/>
          <w:szCs w:val="20"/>
          <w:lang w:val="en-GB" w:eastAsia="zh-CN"/>
        </w:rPr>
        <w:t xml:space="preserve"> can </w:t>
      </w:r>
      <w:r>
        <w:rPr>
          <w:rFonts w:ascii="Times New Roman" w:hAnsi="Times New Roman"/>
          <w:b/>
          <w:i/>
          <w:kern w:val="0"/>
          <w:sz w:val="20"/>
          <w:szCs w:val="20"/>
          <w:lang w:val="en-GB" w:eastAsia="zh-CN"/>
        </w:rPr>
        <w:t xml:space="preserve">indicate </w:t>
      </w:r>
      <w:r w:rsidRPr="005E2DC0">
        <w:rPr>
          <w:rFonts w:ascii="Times New Roman" w:hAnsi="Times New Roman"/>
          <w:b/>
          <w:i/>
          <w:kern w:val="0"/>
          <w:sz w:val="20"/>
          <w:szCs w:val="20"/>
          <w:lang w:val="en-GB" w:eastAsia="zh-CN"/>
        </w:rPr>
        <w:t>support</w:t>
      </w:r>
      <w:r>
        <w:rPr>
          <w:rFonts w:ascii="Times New Roman" w:hAnsi="Times New Roman"/>
          <w:b/>
          <w:i/>
          <w:kern w:val="0"/>
          <w:sz w:val="20"/>
          <w:szCs w:val="20"/>
          <w:lang w:val="en-GB" w:eastAsia="zh-CN"/>
        </w:rPr>
        <w:t xml:space="preserve"> of</w:t>
      </w:r>
      <w:r w:rsidRPr="005E2DC0">
        <w:rPr>
          <w:rFonts w:ascii="Times New Roman" w:hAnsi="Times New Roman"/>
          <w:b/>
          <w:i/>
          <w:kern w:val="0"/>
          <w:sz w:val="20"/>
          <w:szCs w:val="20"/>
          <w:lang w:val="en-GB" w:eastAsia="zh-CN"/>
        </w:rPr>
        <w:t xml:space="preserve"> applicable intra-band contiguous UL CA MPR change from DL CABW dependent to UL carrier/CABW</w:t>
      </w:r>
      <w:r>
        <w:rPr>
          <w:rFonts w:ascii="Times New Roman" w:hAnsi="Times New Roman"/>
          <w:b/>
          <w:i/>
          <w:kern w:val="0"/>
          <w:sz w:val="20"/>
          <w:szCs w:val="20"/>
          <w:lang w:val="en-GB" w:eastAsia="zh-CN"/>
        </w:rPr>
        <w:t>.</w:t>
      </w:r>
      <w:r w:rsidR="00E73C2C" w:rsidRPr="00591B88">
        <w:rPr>
          <w:rFonts w:ascii="Times New Roman" w:hAnsi="Times New Roman"/>
          <w:b/>
          <w:i/>
          <w:kern w:val="0"/>
          <w:sz w:val="20"/>
          <w:szCs w:val="20"/>
          <w:lang w:val="en-GB" w:eastAsia="zh-CN"/>
        </w:rPr>
        <w:t xml:space="preserve"> </w:t>
      </w:r>
    </w:p>
    <w:p w14:paraId="7CBF2A43" w14:textId="56716905" w:rsidR="007E7B7D" w:rsidRPr="008575B1" w:rsidRDefault="00E73C2C" w:rsidP="008575B1">
      <w:pPr>
        <w:jc w:val="both"/>
        <w:rPr>
          <w:b/>
          <w:i/>
        </w:rPr>
      </w:pPr>
      <w:r>
        <w:rPr>
          <w:b/>
          <w:i/>
        </w:rPr>
        <w:t xml:space="preserv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2EE9F3EF"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796C4E">
        <w:t xml:space="preserve">remaining issue for </w:t>
      </w:r>
      <w:r w:rsidR="00971FB1">
        <w:t xml:space="preserve">Rel-19 </w:t>
      </w:r>
      <w:r w:rsidR="00971FB1" w:rsidRPr="00971FB1">
        <w:t>MPR applicability for FR2 CA</w:t>
      </w:r>
      <w:r w:rsidR="007265B2">
        <w:t>.</w:t>
      </w:r>
      <w:r w:rsidRPr="00086BFD">
        <w:t xml:space="preserve"> </w:t>
      </w:r>
      <w:r w:rsidR="00796C4E">
        <w:t>W</w:t>
      </w:r>
      <w:r w:rsidRPr="00086BFD">
        <w:t>e have the following</w:t>
      </w:r>
      <w:r w:rsidR="00FB341C">
        <w:t xml:space="preserve"> </w:t>
      </w:r>
      <w:r w:rsidR="00312E2F">
        <w:t xml:space="preserve">observations and </w:t>
      </w:r>
      <w:r w:rsidRPr="00086BFD">
        <w:t>proposal</w:t>
      </w:r>
      <w:r>
        <w:rPr>
          <w:rFonts w:hint="eastAsia"/>
        </w:rPr>
        <w:t>s</w:t>
      </w:r>
      <w:r w:rsidRPr="00086BFD">
        <w:t>:</w:t>
      </w:r>
      <w:r w:rsidRPr="00671A68">
        <w:rPr>
          <w:rFonts w:hint="eastAsia"/>
          <w:b/>
          <w:i/>
          <w:lang w:val="en-US"/>
        </w:rPr>
        <w:t xml:space="preserve"> </w:t>
      </w:r>
    </w:p>
    <w:p w14:paraId="632C2AAB" w14:textId="380A340E" w:rsidR="005E0491" w:rsidRDefault="005E0491" w:rsidP="005E0491">
      <w:pPr>
        <w:jc w:val="both"/>
        <w:rPr>
          <w:b/>
          <w:i/>
        </w:rPr>
      </w:pPr>
      <w:r>
        <w:rPr>
          <w:b/>
          <w:i/>
        </w:rPr>
        <w:t xml:space="preserve">Observation 1: </w:t>
      </w:r>
      <w:r w:rsidR="003905E6">
        <w:rPr>
          <w:b/>
          <w:i/>
        </w:rPr>
        <w:t>Specify split PLL for Tx/Rx</w:t>
      </w:r>
      <w:r w:rsidR="003905E6" w:rsidRPr="00C02FDB">
        <w:rPr>
          <w:b/>
          <w:i/>
        </w:rPr>
        <w:t xml:space="preserve"> RF architecture as an optional feature is not in line with how RAN4 </w:t>
      </w:r>
      <w:r w:rsidR="003905E6" w:rsidRPr="00E73C2C">
        <w:rPr>
          <w:b/>
          <w:i/>
        </w:rPr>
        <w:t>defined the MPR requirements</w:t>
      </w:r>
      <w:r w:rsidRPr="00C02FDB">
        <w:rPr>
          <w:b/>
          <w:i/>
        </w:rPr>
        <w:t>, given that both common and split Tx/Rx PLL structures have been studied before and the eventually specified core requirements is implementation agnostic about this aspect</w:t>
      </w:r>
      <w:r>
        <w:rPr>
          <w:b/>
          <w:i/>
        </w:rPr>
        <w:t>.</w:t>
      </w:r>
    </w:p>
    <w:p w14:paraId="78853398" w14:textId="77777777" w:rsidR="005E0491" w:rsidRDefault="005E0491" w:rsidP="005E0491">
      <w:pPr>
        <w:jc w:val="both"/>
        <w:rPr>
          <w:b/>
          <w:i/>
        </w:rPr>
      </w:pPr>
      <w:r>
        <w:rPr>
          <w:b/>
          <w:i/>
        </w:rPr>
        <w:t>Observation 2: The split PLL may not be the strong implementation assumption/limitation behind following MPR applicability rule for</w:t>
      </w:r>
      <w:r w:rsidRPr="00EE76B2">
        <w:rPr>
          <w:b/>
          <w:i/>
        </w:rPr>
        <w:t xml:space="preserve"> </w:t>
      </w:r>
      <w:r>
        <w:rPr>
          <w:b/>
          <w:i/>
        </w:rPr>
        <w:t xml:space="preserve">PC1 UE configured with </w:t>
      </w:r>
      <w:r w:rsidRPr="00EE76B2">
        <w:rPr>
          <w:b/>
          <w:i/>
        </w:rPr>
        <w:t>intra-band UL NC CA operation</w:t>
      </w:r>
      <w:r>
        <w:rPr>
          <w:b/>
          <w:i/>
        </w:rPr>
        <w:t>.</w:t>
      </w:r>
    </w:p>
    <w:p w14:paraId="29193F5D" w14:textId="77777777" w:rsidR="005E0491" w:rsidRDefault="005E0491" w:rsidP="005E0491">
      <w:pPr>
        <w:jc w:val="center"/>
        <w:rPr>
          <w:b/>
          <w:i/>
        </w:rPr>
      </w:pPr>
      <w:r>
        <w:rPr>
          <w:noProof/>
          <w:lang w:val="en-US"/>
        </w:rPr>
        <w:drawing>
          <wp:inline distT="0" distB="0" distL="0" distR="0" wp14:anchorId="48A09EB0" wp14:editId="54F49FDA">
            <wp:extent cx="4448014" cy="1092973"/>
            <wp:effectExtent l="114300" t="76200" r="105410" b="692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93620" cy="1104179"/>
                    </a:xfrm>
                    <a:prstGeom prst="rect">
                      <a:avLst/>
                    </a:prstGeom>
                    <a:effectLst>
                      <a:outerShdw blurRad="63500" sx="102000" sy="102000" algn="ctr" rotWithShape="0">
                        <a:prstClr val="black">
                          <a:alpha val="40000"/>
                        </a:prstClr>
                      </a:outerShdw>
                    </a:effectLst>
                  </pic:spPr>
                </pic:pic>
              </a:graphicData>
            </a:graphic>
          </wp:inline>
        </w:drawing>
      </w:r>
    </w:p>
    <w:p w14:paraId="57102C56" w14:textId="77777777" w:rsidR="001A61CC" w:rsidRDefault="001A61CC" w:rsidP="001A61CC">
      <w:pPr>
        <w:jc w:val="both"/>
        <w:rPr>
          <w:b/>
          <w:i/>
        </w:rPr>
      </w:pPr>
      <w:r>
        <w:rPr>
          <w:b/>
          <w:i/>
        </w:rPr>
        <w:t>Proposal: Consider following way during the nominal working procedure:</w:t>
      </w:r>
    </w:p>
    <w:p w14:paraId="2281C4A9" w14:textId="77777777" w:rsidR="001A61CC" w:rsidRDefault="001A61CC" w:rsidP="001A61CC">
      <w:pPr>
        <w:pStyle w:val="aff6"/>
        <w:numPr>
          <w:ilvl w:val="0"/>
          <w:numId w:val="40"/>
        </w:numPr>
        <w:ind w:firstLineChars="0"/>
        <w:rPr>
          <w:rFonts w:ascii="Times New Roman" w:hAnsi="Times New Roman"/>
          <w:b/>
          <w:i/>
          <w:kern w:val="0"/>
          <w:sz w:val="20"/>
          <w:szCs w:val="20"/>
          <w:lang w:val="en-GB" w:eastAsia="zh-CN"/>
        </w:rPr>
      </w:pPr>
      <w:r w:rsidRPr="00E73C2C">
        <w:rPr>
          <w:rFonts w:ascii="Times New Roman" w:hAnsi="Times New Roman"/>
          <w:b/>
          <w:i/>
          <w:kern w:val="0"/>
          <w:sz w:val="20"/>
          <w:szCs w:val="20"/>
          <w:lang w:val="en-GB" w:eastAsia="zh-CN"/>
        </w:rPr>
        <w:t>Explicitly capture in specification (e.g., as a note for the UE capability) that the support of applicable intra-band contiguous UL CA MPR change subject to split PLL for Tx/Rx</w:t>
      </w:r>
      <w:r>
        <w:rPr>
          <w:rFonts w:ascii="Times New Roman" w:hAnsi="Times New Roman"/>
          <w:b/>
          <w:i/>
          <w:kern w:val="0"/>
          <w:sz w:val="20"/>
          <w:szCs w:val="20"/>
          <w:lang w:val="en-GB" w:eastAsia="zh-CN"/>
        </w:rPr>
        <w:t>, or</w:t>
      </w:r>
    </w:p>
    <w:p w14:paraId="67624848" w14:textId="77777777" w:rsidR="001A61CC" w:rsidRPr="00591B88" w:rsidRDefault="001A61CC" w:rsidP="001A61CC">
      <w:pPr>
        <w:pStyle w:val="aff6"/>
        <w:numPr>
          <w:ilvl w:val="0"/>
          <w:numId w:val="40"/>
        </w:numPr>
        <w:ind w:firstLineChars="0"/>
        <w:rPr>
          <w:rFonts w:ascii="Times New Roman" w:hAnsi="Times New Roman"/>
          <w:b/>
          <w:i/>
          <w:kern w:val="0"/>
          <w:sz w:val="20"/>
          <w:szCs w:val="20"/>
          <w:lang w:val="en-GB" w:eastAsia="zh-CN"/>
        </w:rPr>
      </w:pPr>
      <w:r w:rsidRPr="005E2DC0">
        <w:rPr>
          <w:rFonts w:ascii="Times New Roman" w:hAnsi="Times New Roman"/>
          <w:b/>
          <w:i/>
          <w:kern w:val="0"/>
          <w:sz w:val="20"/>
          <w:szCs w:val="20"/>
          <w:lang w:val="en-GB" w:eastAsia="zh-CN"/>
        </w:rPr>
        <w:t xml:space="preserve">Preclude PC3 UE from </w:t>
      </w:r>
      <w:r>
        <w:rPr>
          <w:rFonts w:ascii="Times New Roman" w:hAnsi="Times New Roman"/>
          <w:b/>
          <w:i/>
          <w:kern w:val="0"/>
          <w:sz w:val="20"/>
          <w:szCs w:val="20"/>
          <w:lang w:val="en-GB" w:eastAsia="zh-CN"/>
        </w:rPr>
        <w:t>those UE types</w:t>
      </w:r>
      <w:r w:rsidRPr="005E2DC0">
        <w:rPr>
          <w:rFonts w:ascii="Times New Roman" w:hAnsi="Times New Roman"/>
          <w:b/>
          <w:i/>
          <w:kern w:val="0"/>
          <w:sz w:val="20"/>
          <w:szCs w:val="20"/>
          <w:lang w:val="en-GB" w:eastAsia="zh-CN"/>
        </w:rPr>
        <w:t xml:space="preserve"> can </w:t>
      </w:r>
      <w:r>
        <w:rPr>
          <w:rFonts w:ascii="Times New Roman" w:hAnsi="Times New Roman"/>
          <w:b/>
          <w:i/>
          <w:kern w:val="0"/>
          <w:sz w:val="20"/>
          <w:szCs w:val="20"/>
          <w:lang w:val="en-GB" w:eastAsia="zh-CN"/>
        </w:rPr>
        <w:t xml:space="preserve">indicate </w:t>
      </w:r>
      <w:r w:rsidRPr="005E2DC0">
        <w:rPr>
          <w:rFonts w:ascii="Times New Roman" w:hAnsi="Times New Roman"/>
          <w:b/>
          <w:i/>
          <w:kern w:val="0"/>
          <w:sz w:val="20"/>
          <w:szCs w:val="20"/>
          <w:lang w:val="en-GB" w:eastAsia="zh-CN"/>
        </w:rPr>
        <w:t>support</w:t>
      </w:r>
      <w:r>
        <w:rPr>
          <w:rFonts w:ascii="Times New Roman" w:hAnsi="Times New Roman"/>
          <w:b/>
          <w:i/>
          <w:kern w:val="0"/>
          <w:sz w:val="20"/>
          <w:szCs w:val="20"/>
          <w:lang w:val="en-GB" w:eastAsia="zh-CN"/>
        </w:rPr>
        <w:t xml:space="preserve"> of</w:t>
      </w:r>
      <w:r w:rsidRPr="005E2DC0">
        <w:rPr>
          <w:rFonts w:ascii="Times New Roman" w:hAnsi="Times New Roman"/>
          <w:b/>
          <w:i/>
          <w:kern w:val="0"/>
          <w:sz w:val="20"/>
          <w:szCs w:val="20"/>
          <w:lang w:val="en-GB" w:eastAsia="zh-CN"/>
        </w:rPr>
        <w:t xml:space="preserve"> applicable intra-band contiguous UL CA MPR change from DL CABW dependent to UL carrier/CABW</w:t>
      </w:r>
      <w:r>
        <w:rPr>
          <w:rFonts w:ascii="Times New Roman" w:hAnsi="Times New Roman"/>
          <w:b/>
          <w:i/>
          <w:kern w:val="0"/>
          <w:sz w:val="20"/>
          <w:szCs w:val="20"/>
          <w:lang w:val="en-GB" w:eastAsia="zh-CN"/>
        </w:rPr>
        <w:t>.</w:t>
      </w:r>
      <w:r w:rsidRPr="00591B88">
        <w:rPr>
          <w:rFonts w:ascii="Times New Roman" w:hAnsi="Times New Roman"/>
          <w:b/>
          <w:i/>
          <w:kern w:val="0"/>
          <w:sz w:val="20"/>
          <w:szCs w:val="20"/>
          <w:lang w:val="en-GB" w:eastAsia="zh-CN"/>
        </w:rPr>
        <w:t xml:space="preserve"> </w:t>
      </w:r>
    </w:p>
    <w:p w14:paraId="5BA5CC12" w14:textId="6A087364" w:rsidR="007F52CF" w:rsidRPr="0057546E" w:rsidRDefault="001A61CC" w:rsidP="001A61CC">
      <w:pPr>
        <w:jc w:val="both"/>
        <w:rPr>
          <w:b/>
          <w:i/>
        </w:rPr>
      </w:pPr>
      <w:r>
        <w:rPr>
          <w:b/>
          <w:i/>
        </w:rPr>
        <w:t xml:space="preserve"> </w:t>
      </w:r>
    </w:p>
    <w:p w14:paraId="6E4DEA30" w14:textId="77777777" w:rsidR="00B22DA6" w:rsidRDefault="00B22DA6" w:rsidP="00B22DA6">
      <w:pPr>
        <w:pStyle w:val="1"/>
        <w:numPr>
          <w:ilvl w:val="0"/>
          <w:numId w:val="0"/>
        </w:numPr>
        <w:rPr>
          <w:rFonts w:eastAsia="宋体"/>
          <w:lang w:eastAsia="zh-CN"/>
        </w:rPr>
      </w:pPr>
      <w:r>
        <w:t>References</w:t>
      </w:r>
    </w:p>
    <w:p w14:paraId="002BFEF5" w14:textId="77777777" w:rsidR="00CF4C65" w:rsidRPr="00CF4C65" w:rsidRDefault="00BE223D" w:rsidP="005E0491">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40</w:t>
      </w:r>
      <w:r w:rsidR="008741F1">
        <w:t>6584</w:t>
      </w:r>
      <w:r w:rsidR="00212750">
        <w:t xml:space="preserve">, </w:t>
      </w:r>
      <w:r w:rsidR="00212750" w:rsidRPr="001D14BB">
        <w:t>“</w:t>
      </w:r>
      <w:r w:rsidR="008741F1" w:rsidRPr="008741F1">
        <w:t>WF on power domain enhancements</w:t>
      </w:r>
      <w:r w:rsidR="00212750" w:rsidRPr="001D14BB">
        <w:t xml:space="preserve">”, </w:t>
      </w:r>
      <w:r w:rsidR="008741F1">
        <w:t>Huawei, HiSilicon</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169C776E" w14:textId="17F6F3AA" w:rsidR="0067071C" w:rsidRPr="00CF4C65" w:rsidRDefault="00CF4C65" w:rsidP="00CF4C65">
      <w:pPr>
        <w:numPr>
          <w:ilvl w:val="0"/>
          <w:numId w:val="10"/>
        </w:numPr>
        <w:tabs>
          <w:tab w:val="clear" w:pos="720"/>
          <w:tab w:val="num" w:pos="426"/>
        </w:tabs>
        <w:overflowPunct/>
        <w:autoSpaceDE/>
        <w:autoSpaceDN/>
        <w:adjustRightInd/>
        <w:ind w:left="426" w:hanging="426"/>
        <w:jc w:val="both"/>
        <w:textAlignment w:val="auto"/>
        <w:rPr>
          <w:lang w:val="it-IT" w:eastAsia="ja-JP"/>
        </w:rPr>
      </w:pPr>
      <w:r>
        <w:t>R4-2404209, “</w:t>
      </w:r>
      <w:r w:rsidRPr="00CF4C65">
        <w:t>Power boosting and MPR reduction</w:t>
      </w:r>
      <w:r>
        <w:t>”</w:t>
      </w:r>
      <w:r w:rsidRPr="001D14BB">
        <w:t xml:space="preserve">, </w:t>
      </w:r>
      <w:r>
        <w:t>Qualcomm</w:t>
      </w:r>
      <w:r w:rsidRPr="001D14BB">
        <w:t>, 3GPP TSG-RAN</w:t>
      </w:r>
      <w:r>
        <w:t>4</w:t>
      </w:r>
      <w:r w:rsidRPr="001D14BB">
        <w:t xml:space="preserve"> Meeting #1</w:t>
      </w:r>
      <w:r>
        <w:t>10bis</w:t>
      </w:r>
      <w:r w:rsidRPr="001D14BB">
        <w:t xml:space="preserve">, </w:t>
      </w:r>
      <w:r>
        <w:t>Changsha</w:t>
      </w:r>
      <w:r w:rsidRPr="001D14BB">
        <w:t xml:space="preserve">, </w:t>
      </w:r>
      <w:r>
        <w:t>China,</w:t>
      </w:r>
      <w:r w:rsidRPr="001D14BB">
        <w:t xml:space="preserve"> </w:t>
      </w:r>
      <w:r>
        <w:t>April</w:t>
      </w:r>
      <w:r w:rsidRPr="001D14BB">
        <w:t xml:space="preserve"> 1</w:t>
      </w:r>
      <w:r>
        <w:t>5-19</w:t>
      </w:r>
      <w:r w:rsidRPr="001D14BB">
        <w:t>, 2024</w:t>
      </w:r>
      <w:r>
        <w:t>.</w:t>
      </w:r>
      <w:r w:rsidR="008969D7">
        <w:t xml:space="preserve">                                                                                                                                     </w:t>
      </w:r>
      <w:r w:rsidR="00796C4E">
        <w:t xml:space="preserve">                               </w:t>
      </w:r>
    </w:p>
    <w:sectPr w:rsidR="0067071C" w:rsidRPr="00CF4C65"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D26D3" w14:textId="77777777" w:rsidR="00FA783E" w:rsidRDefault="00FA783E" w:rsidP="0052762B">
      <w:r>
        <w:separator/>
      </w:r>
    </w:p>
  </w:endnote>
  <w:endnote w:type="continuationSeparator" w:id="0">
    <w:p w14:paraId="09FB83D9" w14:textId="77777777" w:rsidR="00FA783E" w:rsidRDefault="00FA783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35CDB" w14:textId="77777777" w:rsidR="00FA783E" w:rsidRDefault="00FA783E" w:rsidP="0052762B">
      <w:r>
        <w:separator/>
      </w:r>
    </w:p>
  </w:footnote>
  <w:footnote w:type="continuationSeparator" w:id="0">
    <w:p w14:paraId="5EB07196" w14:textId="77777777" w:rsidR="00FA783E" w:rsidRDefault="00FA783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0"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20"/>
  </w:num>
  <w:num w:numId="4">
    <w:abstractNumId w:val="35"/>
  </w:num>
  <w:num w:numId="5">
    <w:abstractNumId w:val="34"/>
  </w:num>
  <w:num w:numId="6">
    <w:abstractNumId w:val="14"/>
  </w:num>
  <w:num w:numId="7">
    <w:abstractNumId w:val="27"/>
  </w:num>
  <w:num w:numId="8">
    <w:abstractNumId w:val="39"/>
  </w:num>
  <w:num w:numId="9">
    <w:abstractNumId w:val="12"/>
  </w:num>
  <w:num w:numId="10">
    <w:abstractNumId w:val="37"/>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7"/>
  </w:num>
  <w:num w:numId="14">
    <w:abstractNumId w:val="28"/>
  </w:num>
  <w:num w:numId="15">
    <w:abstractNumId w:val="3"/>
  </w:num>
  <w:num w:numId="16">
    <w:abstractNumId w:val="18"/>
  </w:num>
  <w:num w:numId="17">
    <w:abstractNumId w:val="13"/>
  </w:num>
  <w:num w:numId="18">
    <w:abstractNumId w:val="5"/>
  </w:num>
  <w:num w:numId="19">
    <w:abstractNumId w:val="2"/>
  </w:num>
  <w:num w:numId="20">
    <w:abstractNumId w:val="9"/>
  </w:num>
  <w:num w:numId="21">
    <w:abstractNumId w:val="22"/>
  </w:num>
  <w:num w:numId="22">
    <w:abstractNumId w:val="4"/>
  </w:num>
  <w:num w:numId="23">
    <w:abstractNumId w:val="23"/>
  </w:num>
  <w:num w:numId="24">
    <w:abstractNumId w:val="24"/>
  </w:num>
  <w:num w:numId="25">
    <w:abstractNumId w:val="33"/>
  </w:num>
  <w:num w:numId="26">
    <w:abstractNumId w:val="10"/>
  </w:num>
  <w:num w:numId="27">
    <w:abstractNumId w:val="19"/>
  </w:num>
  <w:num w:numId="28">
    <w:abstractNumId w:val="15"/>
  </w:num>
  <w:num w:numId="29">
    <w:abstractNumId w:val="6"/>
  </w:num>
  <w:num w:numId="30">
    <w:abstractNumId w:val="38"/>
  </w:num>
  <w:num w:numId="31">
    <w:abstractNumId w:val="7"/>
  </w:num>
  <w:num w:numId="32">
    <w:abstractNumId w:val="29"/>
  </w:num>
  <w:num w:numId="33">
    <w:abstractNumId w:val="30"/>
  </w:num>
  <w:num w:numId="34">
    <w:abstractNumId w:val="32"/>
  </w:num>
  <w:num w:numId="35">
    <w:abstractNumId w:val="36"/>
  </w:num>
  <w:num w:numId="36">
    <w:abstractNumId w:val="0"/>
  </w:num>
  <w:num w:numId="37">
    <w:abstractNumId w:val="21"/>
  </w:num>
  <w:num w:numId="38">
    <w:abstractNumId w:val="31"/>
  </w:num>
  <w:num w:numId="39">
    <w:abstractNumId w:val="11"/>
  </w:num>
  <w:num w:numId="4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582"/>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83E"/>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433C3-8190-4B24-84E2-6A53E40B1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1600</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67</cp:revision>
  <cp:lastPrinted>2010-01-07T02:23:00Z</cp:lastPrinted>
  <dcterms:created xsi:type="dcterms:W3CDTF">2024-04-07T12:55:00Z</dcterms:created>
  <dcterms:modified xsi:type="dcterms:W3CDTF">2024-05-13T12:30:00Z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(3)9Z4GnPhUhC17IyzDzB9qCr9VAyVNEyPRvBXSHigHrbWSrhPTK13mcplLu891MZbsQv6oY2N+
Do/gSgDFj6a2TFKhIK1GsGyEe3EObo+m03DYv4iZ/2otxTOq6kHYHZANphEG87aT/v+MXIPG
1dzOSklZa2puTMmPcRMteLA4PW1J8WVPvnf5/gU6HUbbhuKfdy2GVR7p2gFV4PUUxdiz1YZM
UmodXY4elRxQrtCK+7</vt:lpwstr>
  </property>
  <property fmtid="{D5CDD505-2E9C-101B-9397-08002B2CF9AE}" pid="15" name="_2015_ms_pID_725343_00">
    <vt:lpwstr>_2015_ms_pID_725343</vt:lpwstr>
  </property>
  <property fmtid="{D5CDD505-2E9C-101B-9397-08002B2CF9AE}" pid="16" name="_2015_ms_pID_7253431">
    <vt:lpwstr>jAzw8Tg0FCkq3qlcscxVuFVD1Y1a4tRdsjqi8eGM1MPdJvJrFshBN2
VpazJ/wozZzatLrkzltOSbT84FVBUbnctE5Q5HRZ97fNwPgcSs67pNwdBJuPzTXALDYj3BTX
dYQRFaE1FW6Uxqy59pn4Z94NVVivjYX/KBWbialCXU3y201/zI82uFsyFR7dRRSMegp+X9jK
6lrSI26XKrOlm8rSP0cs4j0T15HnvtKms/sZ</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1714873979</vt:lpwstr>
  </property>
</Properties>
</file>